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F5D" w:rsidRPr="00FE4F5D" w:rsidRDefault="00FE4F5D" w:rsidP="00FE4F5D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4F5D">
        <w:rPr>
          <w:rFonts w:ascii="Times New Roman" w:eastAsia="Times New Roman" w:hAnsi="Times New Roman" w:cs="Times New Roman"/>
          <w:b/>
          <w:bCs/>
          <w:color w:val="334155"/>
          <w:spacing w:val="30"/>
          <w:sz w:val="23"/>
          <w:szCs w:val="23"/>
          <w:rtl/>
        </w:rPr>
        <w:t>بسمه‌تعالی</w:t>
      </w:r>
      <w:r w:rsidRPr="00FE4F5D">
        <w:rPr>
          <w:rFonts w:ascii="Times New Roman" w:eastAsia="Times New Roman" w:hAnsi="Times New Roman" w:cs="Times New Roman"/>
          <w:sz w:val="24"/>
          <w:szCs w:val="24"/>
        </w:rPr>
        <w:br/>
      </w:r>
      <w:r w:rsidRPr="00FE4F5D">
        <w:rPr>
          <w:rFonts w:ascii="Tahoma" w:eastAsia="Times New Roman" w:hAnsi="Tahoma" w:cs="Tahoma"/>
          <w:b/>
          <w:bCs/>
          <w:color w:val="0F2942"/>
          <w:sz w:val="26"/>
          <w:szCs w:val="26"/>
          <w:rtl/>
        </w:rPr>
        <w:t>برگ لایحه دفاعیه هیات حل اختلاف مالیاتی</w:t>
      </w:r>
    </w:p>
    <w:p w:rsidR="00FE4F5D" w:rsidRPr="00FE4F5D" w:rsidRDefault="00FE4F5D" w:rsidP="00FE4F5D">
      <w:pPr>
        <w:bidi w:val="0"/>
        <w:spacing w:after="0" w:line="240" w:lineRule="auto"/>
        <w:rPr>
          <w:rFonts w:ascii="Tahoma" w:eastAsia="Times New Roman" w:hAnsi="Tahoma" w:cs="Tahoma"/>
          <w:color w:val="475569"/>
          <w:sz w:val="18"/>
          <w:szCs w:val="18"/>
        </w:rPr>
      </w:pPr>
      <w:r w:rsidRPr="00FE4F5D">
        <w:rPr>
          <w:rFonts w:ascii="Tahoma" w:eastAsia="Times New Roman" w:hAnsi="Tahoma" w:cs="Tahoma"/>
          <w:b/>
          <w:bCs/>
          <w:color w:val="475569"/>
          <w:sz w:val="18"/>
          <w:szCs w:val="18"/>
          <w:rtl/>
        </w:rPr>
        <w:t>شماره کلاسه</w:t>
      </w:r>
      <w:r w:rsidRPr="00FE4F5D">
        <w:rPr>
          <w:rFonts w:ascii="Tahoma" w:eastAsia="Times New Roman" w:hAnsi="Tahoma" w:cs="Tahoma"/>
          <w:b/>
          <w:bCs/>
          <w:color w:val="475569"/>
          <w:sz w:val="18"/>
          <w:szCs w:val="18"/>
        </w:rPr>
        <w:t>:</w:t>
      </w:r>
      <w:r w:rsidRPr="00FE4F5D">
        <w:rPr>
          <w:rFonts w:ascii="Tahoma" w:eastAsia="Times New Roman" w:hAnsi="Tahoma" w:cs="Tahoma"/>
          <w:color w:val="475569"/>
          <w:sz w:val="18"/>
          <w:szCs w:val="18"/>
        </w:rPr>
        <w:t xml:space="preserve"> ....................</w:t>
      </w:r>
    </w:p>
    <w:p w:rsidR="00FE4F5D" w:rsidRPr="00FE4F5D" w:rsidRDefault="00FE4F5D" w:rsidP="00FE4F5D">
      <w:pPr>
        <w:bidi w:val="0"/>
        <w:spacing w:after="0" w:line="240" w:lineRule="auto"/>
        <w:rPr>
          <w:rFonts w:ascii="Tahoma" w:eastAsia="Times New Roman" w:hAnsi="Tahoma" w:cs="Tahoma"/>
          <w:color w:val="475569"/>
          <w:sz w:val="18"/>
          <w:szCs w:val="18"/>
        </w:rPr>
      </w:pPr>
      <w:r w:rsidRPr="00FE4F5D">
        <w:rPr>
          <w:rFonts w:ascii="Tahoma" w:eastAsia="Times New Roman" w:hAnsi="Tahoma" w:cs="Tahoma"/>
          <w:b/>
          <w:bCs/>
          <w:color w:val="475569"/>
          <w:sz w:val="18"/>
          <w:szCs w:val="18"/>
          <w:rtl/>
        </w:rPr>
        <w:t>تاریخ جلسه</w:t>
      </w:r>
      <w:r w:rsidRPr="00FE4F5D">
        <w:rPr>
          <w:rFonts w:ascii="Tahoma" w:eastAsia="Times New Roman" w:hAnsi="Tahoma" w:cs="Tahoma"/>
          <w:b/>
          <w:bCs/>
          <w:color w:val="475569"/>
          <w:sz w:val="18"/>
          <w:szCs w:val="18"/>
        </w:rPr>
        <w:t>:</w:t>
      </w:r>
      <w:r w:rsidRPr="00FE4F5D">
        <w:rPr>
          <w:rFonts w:ascii="Tahoma" w:eastAsia="Times New Roman" w:hAnsi="Tahoma" w:cs="Tahoma"/>
          <w:color w:val="475569"/>
          <w:sz w:val="18"/>
          <w:szCs w:val="18"/>
        </w:rPr>
        <w:t xml:space="preserve"> ....................</w:t>
      </w:r>
    </w:p>
    <w:p w:rsidR="00FE4F5D" w:rsidRPr="00FE4F5D" w:rsidRDefault="00FE4F5D" w:rsidP="00FE4F5D">
      <w:pPr>
        <w:spacing w:line="240" w:lineRule="auto"/>
        <w:jc w:val="both"/>
        <w:rPr>
          <w:rFonts w:ascii="Tahoma" w:eastAsia="Times New Roman" w:hAnsi="Tahoma" w:cs="Tahoma"/>
          <w:color w:val="475569"/>
          <w:sz w:val="18"/>
          <w:szCs w:val="18"/>
        </w:rPr>
      </w:pPr>
      <w:r w:rsidRPr="00FE4F5D">
        <w:rPr>
          <w:rFonts w:ascii="Tahoma" w:eastAsia="Times New Roman" w:hAnsi="Tahoma" w:cs="Tahoma"/>
          <w:b/>
          <w:bCs/>
          <w:color w:val="475569"/>
          <w:sz w:val="18"/>
          <w:szCs w:val="18"/>
          <w:rtl/>
        </w:rPr>
        <w:t>پیوست</w:t>
      </w:r>
      <w:r w:rsidRPr="00FE4F5D">
        <w:rPr>
          <w:rFonts w:ascii="Tahoma" w:eastAsia="Times New Roman" w:hAnsi="Tahoma" w:cs="Tahoma"/>
          <w:b/>
          <w:bCs/>
          <w:color w:val="475569"/>
          <w:sz w:val="18"/>
          <w:szCs w:val="18"/>
        </w:rPr>
        <w:t>:</w:t>
      </w:r>
      <w:r w:rsidRPr="00FE4F5D">
        <w:rPr>
          <w:rFonts w:ascii="Tahoma" w:eastAsia="Times New Roman" w:hAnsi="Tahoma" w:cs="Tahoma"/>
          <w:color w:val="475569"/>
          <w:sz w:val="18"/>
          <w:szCs w:val="18"/>
        </w:rPr>
        <w:t xml:space="preserve"> </w:t>
      </w:r>
      <w:r w:rsidRPr="00FE4F5D">
        <w:rPr>
          <w:rFonts w:ascii="Tahoma" w:eastAsia="Times New Roman" w:hAnsi="Tahoma" w:cs="Tahoma"/>
          <w:color w:val="475569"/>
          <w:sz w:val="18"/>
          <w:szCs w:val="18"/>
          <w:rtl/>
        </w:rPr>
        <w:t>دفاتر و اسناد مالی</w:t>
      </w:r>
    </w:p>
    <w:p w:rsidR="00FE4F5D" w:rsidRPr="00FE4F5D" w:rsidRDefault="00FE4F5D" w:rsidP="00FE4F5D">
      <w:pPr>
        <w:shd w:val="clear" w:color="auto" w:fill="F8FAFC"/>
        <w:spacing w:after="90" w:line="480" w:lineRule="auto"/>
        <w:jc w:val="both"/>
        <w:rPr>
          <w:rFonts w:ascii="Tahoma" w:eastAsia="Times New Roman" w:hAnsi="Tahoma" w:cs="Tahoma"/>
          <w:b/>
          <w:bCs/>
          <w:color w:val="0F2942"/>
          <w:sz w:val="21"/>
          <w:szCs w:val="21"/>
        </w:rPr>
      </w:pPr>
      <w:r w:rsidRPr="00FE4F5D">
        <w:rPr>
          <w:rFonts w:ascii="Tahoma" w:eastAsia="Times New Roman" w:hAnsi="Tahoma" w:cs="Tahoma"/>
          <w:b/>
          <w:bCs/>
          <w:color w:val="0F2942"/>
          <w:sz w:val="21"/>
          <w:szCs w:val="21"/>
          <w:rtl/>
        </w:rPr>
        <w:t xml:space="preserve">به: ریاست و اعضای محترم هیات </w:t>
      </w:r>
      <w:r w:rsidRPr="00FE4F5D">
        <w:rPr>
          <w:rFonts w:ascii="Tahoma" w:eastAsia="Times New Roman" w:hAnsi="Tahoma" w:cs="Tahoma"/>
          <w:b/>
          <w:bCs/>
          <w:color w:val="854D0E"/>
          <w:sz w:val="21"/>
          <w:szCs w:val="21"/>
          <w:shd w:val="clear" w:color="auto" w:fill="FEF08A"/>
          <w:rtl/>
        </w:rPr>
        <w:t>بدوی / تجدیدنظر</w:t>
      </w:r>
      <w:r w:rsidRPr="00FE4F5D">
        <w:rPr>
          <w:rFonts w:ascii="Tahoma" w:eastAsia="Times New Roman" w:hAnsi="Tahoma" w:cs="Tahoma"/>
          <w:b/>
          <w:bCs/>
          <w:color w:val="0F2942"/>
          <w:sz w:val="21"/>
          <w:szCs w:val="21"/>
        </w:rPr>
        <w:t xml:space="preserve"> </w:t>
      </w:r>
      <w:r w:rsidRPr="00FE4F5D">
        <w:rPr>
          <w:rFonts w:ascii="Tahoma" w:eastAsia="Times New Roman" w:hAnsi="Tahoma" w:cs="Tahoma"/>
          <w:b/>
          <w:bCs/>
          <w:color w:val="0F2942"/>
          <w:sz w:val="21"/>
          <w:szCs w:val="21"/>
          <w:rtl/>
        </w:rPr>
        <w:t>حل اختلاف مالیاتی</w:t>
      </w:r>
    </w:p>
    <w:p w:rsidR="00FE4F5D" w:rsidRPr="00FE4F5D" w:rsidRDefault="00FE4F5D" w:rsidP="00FE4F5D">
      <w:pPr>
        <w:shd w:val="clear" w:color="auto" w:fill="F8FAFC"/>
        <w:spacing w:after="0" w:line="480" w:lineRule="auto"/>
        <w:jc w:val="both"/>
        <w:rPr>
          <w:rFonts w:ascii="Tahoma" w:eastAsia="Times New Roman" w:hAnsi="Tahoma" w:cs="Tahoma"/>
          <w:color w:val="334155"/>
          <w:sz w:val="20"/>
          <w:szCs w:val="20"/>
        </w:rPr>
      </w:pPr>
      <w:r w:rsidRPr="00FE4F5D">
        <w:rPr>
          <w:rFonts w:ascii="Tahoma" w:eastAsia="Times New Roman" w:hAnsi="Tahoma" w:cs="Tahoma"/>
          <w:b/>
          <w:bCs/>
          <w:color w:val="334155"/>
          <w:sz w:val="20"/>
          <w:szCs w:val="20"/>
          <w:rtl/>
        </w:rPr>
        <w:t>موضوع</w:t>
      </w:r>
      <w:r w:rsidRPr="00FE4F5D">
        <w:rPr>
          <w:rFonts w:ascii="Tahoma" w:eastAsia="Times New Roman" w:hAnsi="Tahoma" w:cs="Tahoma"/>
          <w:b/>
          <w:bCs/>
          <w:color w:val="334155"/>
          <w:sz w:val="20"/>
          <w:szCs w:val="20"/>
        </w:rPr>
        <w:t>:</w:t>
      </w:r>
      <w:r w:rsidRPr="00FE4F5D">
        <w:rPr>
          <w:rFonts w:ascii="Tahoma" w:eastAsia="Times New Roman" w:hAnsi="Tahoma" w:cs="Tahoma"/>
          <w:color w:val="334155"/>
          <w:sz w:val="20"/>
          <w:szCs w:val="20"/>
        </w:rPr>
        <w:t xml:space="preserve"> </w:t>
      </w:r>
      <w:r w:rsidRPr="00FE4F5D">
        <w:rPr>
          <w:rFonts w:ascii="Tahoma" w:eastAsia="Times New Roman" w:hAnsi="Tahoma" w:cs="Tahoma"/>
          <w:color w:val="334155"/>
          <w:sz w:val="20"/>
          <w:szCs w:val="20"/>
          <w:rtl/>
        </w:rPr>
        <w:t xml:space="preserve">لایحه تکمیلی در خصوص پرونده مالیات عملکرد سال </w:t>
      </w:r>
      <w:bookmarkStart w:id="0" w:name="_GoBack"/>
      <w:bookmarkEnd w:id="0"/>
      <w:r w:rsidRPr="00FE4F5D">
        <w:rPr>
          <w:rFonts w:ascii="Tahoma" w:eastAsia="Times New Roman" w:hAnsi="Tahoma" w:cs="Tahoma"/>
          <w:color w:val="854D0E"/>
          <w:sz w:val="20"/>
          <w:szCs w:val="20"/>
          <w:shd w:val="clear" w:color="auto" w:fill="FEF08A"/>
          <w:rtl/>
        </w:rPr>
        <w:t>سال مالی</w:t>
      </w:r>
      <w:r w:rsidRPr="00FE4F5D">
        <w:rPr>
          <w:rFonts w:ascii="Tahoma" w:eastAsia="Times New Roman" w:hAnsi="Tahoma" w:cs="Tahoma"/>
          <w:color w:val="854D0E"/>
          <w:sz w:val="20"/>
          <w:szCs w:val="20"/>
          <w:shd w:val="clear" w:color="auto" w:fill="FEF08A"/>
        </w:rPr>
        <w:t>]</w:t>
      </w:r>
      <w:r w:rsidRPr="00FE4F5D">
        <w:rPr>
          <w:rFonts w:ascii="Tahoma" w:eastAsia="Times New Roman" w:hAnsi="Tahoma" w:cs="Tahoma"/>
          <w:color w:val="334155"/>
          <w:sz w:val="20"/>
          <w:szCs w:val="20"/>
        </w:rPr>
        <w:t xml:space="preserve"> </w:t>
      </w:r>
      <w:r w:rsidRPr="00FE4F5D">
        <w:rPr>
          <w:rFonts w:ascii="Tahoma" w:eastAsia="Times New Roman" w:hAnsi="Tahoma" w:cs="Tahoma"/>
          <w:color w:val="334155"/>
          <w:sz w:val="20"/>
          <w:szCs w:val="20"/>
          <w:rtl/>
        </w:rPr>
        <w:t xml:space="preserve">شرکت </w:t>
      </w:r>
      <w:r w:rsidRPr="00FE4F5D">
        <w:rPr>
          <w:rFonts w:ascii="Tahoma" w:eastAsia="Times New Roman" w:hAnsi="Tahoma" w:cs="Tahoma"/>
          <w:color w:val="854D0E"/>
          <w:sz w:val="20"/>
          <w:szCs w:val="20"/>
          <w:shd w:val="clear" w:color="auto" w:fill="FEF08A"/>
        </w:rPr>
        <w:t>[</w:t>
      </w:r>
      <w:r w:rsidRPr="00FE4F5D">
        <w:rPr>
          <w:rFonts w:ascii="Tahoma" w:eastAsia="Times New Roman" w:hAnsi="Tahoma" w:cs="Tahoma"/>
          <w:color w:val="854D0E"/>
          <w:sz w:val="20"/>
          <w:szCs w:val="20"/>
          <w:shd w:val="clear" w:color="auto" w:fill="FEF08A"/>
          <w:rtl/>
        </w:rPr>
        <w:t>نام شرکت</w:t>
      </w:r>
    </w:p>
    <w:p w:rsidR="00FE4F5D" w:rsidRPr="00FE4F5D" w:rsidRDefault="00FE4F5D" w:rsidP="00FE4F5D">
      <w:pPr>
        <w:shd w:val="clear" w:color="auto" w:fill="F8FAFC"/>
        <w:spacing w:line="480" w:lineRule="auto"/>
        <w:jc w:val="both"/>
        <w:rPr>
          <w:rFonts w:ascii="Tahoma" w:eastAsia="Times New Roman" w:hAnsi="Tahoma" w:cs="Tahoma"/>
          <w:color w:val="475569"/>
          <w:sz w:val="19"/>
          <w:szCs w:val="19"/>
        </w:rPr>
      </w:pPr>
      <w:r w:rsidRPr="00FE4F5D">
        <w:rPr>
          <w:rFonts w:ascii="Tahoma" w:eastAsia="Times New Roman" w:hAnsi="Tahoma" w:cs="Tahoma"/>
          <w:b/>
          <w:bCs/>
          <w:color w:val="475569"/>
          <w:sz w:val="19"/>
          <w:szCs w:val="19"/>
          <w:rtl/>
        </w:rPr>
        <w:t>مبنای قانونی دادرسی</w:t>
      </w:r>
      <w:r w:rsidRPr="00FE4F5D">
        <w:rPr>
          <w:rFonts w:ascii="Tahoma" w:eastAsia="Times New Roman" w:hAnsi="Tahoma" w:cs="Tahoma"/>
          <w:b/>
          <w:bCs/>
          <w:color w:val="475569"/>
          <w:sz w:val="19"/>
          <w:szCs w:val="19"/>
        </w:rPr>
        <w:t>:</w:t>
      </w:r>
      <w:r w:rsidRPr="00FE4F5D">
        <w:rPr>
          <w:rFonts w:ascii="Tahoma" w:eastAsia="Times New Roman" w:hAnsi="Tahoma" w:cs="Tahoma"/>
          <w:color w:val="475569"/>
          <w:sz w:val="19"/>
          <w:szCs w:val="19"/>
        </w:rPr>
        <w:t xml:space="preserve"> </w:t>
      </w:r>
      <w:r w:rsidRPr="00FE4F5D">
        <w:rPr>
          <w:rFonts w:ascii="Tahoma" w:eastAsia="Times New Roman" w:hAnsi="Tahoma" w:cs="Tahoma"/>
          <w:color w:val="475569"/>
          <w:sz w:val="19"/>
          <w:szCs w:val="19"/>
          <w:rtl/>
        </w:rPr>
        <w:t>مواد ۲۴۴ و ۲۴۷ قانون مالیات‌های مستقیم</w:t>
      </w:r>
    </w:p>
    <w:p w:rsidR="00FE4F5D" w:rsidRPr="00FE4F5D" w:rsidRDefault="00FE4F5D" w:rsidP="00FE4F5D">
      <w:pPr>
        <w:spacing w:after="180" w:line="480" w:lineRule="auto"/>
        <w:jc w:val="both"/>
        <w:rPr>
          <w:rFonts w:ascii="Tahoma" w:eastAsia="Times New Roman" w:hAnsi="Tahoma" w:cs="Tahoma"/>
          <w:b/>
          <w:bCs/>
          <w:color w:val="1E293B"/>
          <w:sz w:val="23"/>
          <w:szCs w:val="23"/>
        </w:rPr>
      </w:pPr>
      <w:r w:rsidRPr="00FE4F5D">
        <w:rPr>
          <w:rFonts w:ascii="Tahoma" w:eastAsia="Times New Roman" w:hAnsi="Tahoma" w:cs="Tahoma"/>
          <w:b/>
          <w:bCs/>
          <w:color w:val="1E293B"/>
          <w:sz w:val="23"/>
          <w:szCs w:val="23"/>
          <w:rtl/>
        </w:rPr>
        <w:t>با سلام و تحیات وافر؛</w:t>
      </w:r>
    </w:p>
    <w:p w:rsidR="00FE4F5D" w:rsidRPr="00FE4F5D" w:rsidRDefault="00FE4F5D" w:rsidP="00FE4F5D">
      <w:pPr>
        <w:spacing w:after="210" w:line="480" w:lineRule="auto"/>
        <w:ind w:firstLine="375"/>
        <w:jc w:val="both"/>
        <w:rPr>
          <w:rFonts w:ascii="Tahoma" w:eastAsia="Times New Roman" w:hAnsi="Tahoma" w:cs="Tahoma"/>
          <w:color w:val="1E293B"/>
          <w:sz w:val="23"/>
          <w:szCs w:val="23"/>
        </w:rPr>
      </w:pPr>
      <w:r w:rsidRPr="00FE4F5D">
        <w:rPr>
          <w:rFonts w:ascii="Tahoma" w:eastAsia="Times New Roman" w:hAnsi="Tahoma" w:cs="Tahoma"/>
          <w:color w:val="1E293B"/>
          <w:sz w:val="23"/>
          <w:szCs w:val="23"/>
          <w:rtl/>
        </w:rPr>
        <w:t xml:space="preserve">در اجرای </w:t>
      </w:r>
      <w:r w:rsidRPr="00FE4F5D">
        <w:rPr>
          <w:rFonts w:ascii="Tahoma" w:eastAsia="Times New Roman" w:hAnsi="Tahoma" w:cs="Tahoma"/>
          <w:b/>
          <w:bCs/>
          <w:color w:val="1E293B"/>
          <w:sz w:val="23"/>
          <w:szCs w:val="23"/>
          <w:rtl/>
        </w:rPr>
        <w:t>مواد ۲۴۴ و ۲۴۷ قانون مالیات‌های مستقیم</w:t>
      </w:r>
      <w:r w:rsidRPr="00FE4F5D">
        <w:rPr>
          <w:rFonts w:ascii="Tahoma" w:eastAsia="Times New Roman" w:hAnsi="Tahoma" w:cs="Tahoma"/>
          <w:color w:val="1E293B"/>
          <w:sz w:val="23"/>
          <w:szCs w:val="23"/>
          <w:rtl/>
        </w:rPr>
        <w:t xml:space="preserve"> و پیرو مفاد مندرج در برگ تشخیص صادره، نکات و ادله قانونی ذیل به استحضار اعضای محترم هیات رسانده می‌شود</w:t>
      </w:r>
      <w:r w:rsidRPr="00FE4F5D">
        <w:rPr>
          <w:rFonts w:ascii="Tahoma" w:eastAsia="Times New Roman" w:hAnsi="Tahoma" w:cs="Tahoma"/>
          <w:color w:val="1E293B"/>
          <w:sz w:val="23"/>
          <w:szCs w:val="23"/>
        </w:rPr>
        <w:t>:</w:t>
      </w:r>
    </w:p>
    <w:p w:rsidR="00FE4F5D" w:rsidRPr="00FE4F5D" w:rsidRDefault="00FE4F5D" w:rsidP="00FE4F5D">
      <w:pPr>
        <w:pBdr>
          <w:right w:val="single" w:sz="12" w:space="11" w:color="CBD5E1"/>
        </w:pBdr>
        <w:spacing w:after="180" w:line="480" w:lineRule="auto"/>
        <w:jc w:val="both"/>
        <w:rPr>
          <w:rFonts w:ascii="Tahoma" w:eastAsia="Times New Roman" w:hAnsi="Tahoma" w:cs="Tahoma"/>
          <w:color w:val="1E293B"/>
          <w:sz w:val="23"/>
          <w:szCs w:val="23"/>
        </w:rPr>
      </w:pPr>
      <w:r w:rsidRPr="00FE4F5D">
        <w:rPr>
          <w:rFonts w:ascii="Tahoma" w:eastAsia="Times New Roman" w:hAnsi="Tahoma" w:cs="Tahoma"/>
          <w:b/>
          <w:bCs/>
          <w:color w:val="1E293B"/>
          <w:sz w:val="23"/>
          <w:szCs w:val="23"/>
          <w:rtl/>
        </w:rPr>
        <w:t>۱</w:t>
      </w:r>
      <w:r w:rsidRPr="00FE4F5D">
        <w:rPr>
          <w:rFonts w:ascii="Tahoma" w:eastAsia="Times New Roman" w:hAnsi="Tahoma" w:cs="Tahoma"/>
          <w:b/>
          <w:bCs/>
          <w:color w:val="1E293B"/>
          <w:sz w:val="23"/>
          <w:szCs w:val="23"/>
        </w:rPr>
        <w:t>.</w:t>
      </w:r>
      <w:r w:rsidRPr="00FE4F5D">
        <w:rPr>
          <w:rFonts w:ascii="Tahoma" w:eastAsia="Times New Roman" w:hAnsi="Tahoma" w:cs="Tahoma"/>
          <w:color w:val="1E293B"/>
          <w:sz w:val="23"/>
          <w:szCs w:val="23"/>
        </w:rPr>
        <w:t xml:space="preserve"> </w:t>
      </w:r>
      <w:r w:rsidRPr="00FE4F5D">
        <w:rPr>
          <w:rFonts w:ascii="Tahoma" w:eastAsia="Times New Roman" w:hAnsi="Tahoma" w:cs="Tahoma"/>
          <w:color w:val="1E293B"/>
          <w:sz w:val="23"/>
          <w:szCs w:val="23"/>
          <w:rtl/>
        </w:rPr>
        <w:t>در گزارش ممیزی اولیه، صرفاً به دلیل عدم انطباق صورت‌حساب‌ها با برخی معیارهای شکلی غیراساسی، دفاتر و اسناد مودی نادیده انگاشته شده و ضرایب سودآوری فراتر از عرف واقعی صنعت و نرخ‌های مصوب محاسبه و اعمال گردیده است</w:t>
      </w:r>
      <w:r w:rsidRPr="00FE4F5D">
        <w:rPr>
          <w:rFonts w:ascii="Tahoma" w:eastAsia="Times New Roman" w:hAnsi="Tahoma" w:cs="Tahoma"/>
          <w:color w:val="1E293B"/>
          <w:sz w:val="23"/>
          <w:szCs w:val="23"/>
        </w:rPr>
        <w:t>.</w:t>
      </w:r>
    </w:p>
    <w:p w:rsidR="00FE4F5D" w:rsidRPr="00FE4F5D" w:rsidRDefault="00FE4F5D" w:rsidP="00FE4F5D">
      <w:pPr>
        <w:pBdr>
          <w:right w:val="single" w:sz="12" w:space="11" w:color="CBD5E1"/>
        </w:pBdr>
        <w:spacing w:after="210" w:line="480" w:lineRule="auto"/>
        <w:jc w:val="both"/>
        <w:rPr>
          <w:rFonts w:ascii="Tahoma" w:eastAsia="Times New Roman" w:hAnsi="Tahoma" w:cs="Tahoma"/>
          <w:color w:val="1E293B"/>
          <w:sz w:val="23"/>
          <w:szCs w:val="23"/>
        </w:rPr>
      </w:pPr>
      <w:r w:rsidRPr="00FE4F5D">
        <w:rPr>
          <w:rFonts w:ascii="Tahoma" w:eastAsia="Times New Roman" w:hAnsi="Tahoma" w:cs="Tahoma"/>
          <w:b/>
          <w:bCs/>
          <w:color w:val="1E293B"/>
          <w:sz w:val="23"/>
          <w:szCs w:val="23"/>
          <w:rtl/>
        </w:rPr>
        <w:t>۲</w:t>
      </w:r>
      <w:r w:rsidRPr="00FE4F5D">
        <w:rPr>
          <w:rFonts w:ascii="Tahoma" w:eastAsia="Times New Roman" w:hAnsi="Tahoma" w:cs="Tahoma"/>
          <w:b/>
          <w:bCs/>
          <w:color w:val="1E293B"/>
          <w:sz w:val="23"/>
          <w:szCs w:val="23"/>
        </w:rPr>
        <w:t>.</w:t>
      </w:r>
      <w:r w:rsidRPr="00FE4F5D">
        <w:rPr>
          <w:rFonts w:ascii="Tahoma" w:eastAsia="Times New Roman" w:hAnsi="Tahoma" w:cs="Tahoma"/>
          <w:color w:val="1E293B"/>
          <w:sz w:val="23"/>
          <w:szCs w:val="23"/>
        </w:rPr>
        <w:t xml:space="preserve"> </w:t>
      </w:r>
      <w:r w:rsidRPr="00FE4F5D">
        <w:rPr>
          <w:rFonts w:ascii="Tahoma" w:eastAsia="Times New Roman" w:hAnsi="Tahoma" w:cs="Tahoma"/>
          <w:color w:val="1E293B"/>
          <w:sz w:val="23"/>
          <w:szCs w:val="23"/>
          <w:rtl/>
        </w:rPr>
        <w:t>تمامی دفاتر پلمپ قانونی، ثبت‌های حسابداری روزنامه و کل و صورت‌های مالی حسابرسی‌شده شرکت فاقد هرگونه مغایرت بنیادین بوده و منطبق با استانداردهای حسابداری نگهداری شده‌اند. رد دفاتر بر اساس ماده ۹۷ ق.م.م بدون ارائه مصادیق مشخص، ملموس و مستند تخلف صورت گرفته است</w:t>
      </w:r>
      <w:r w:rsidRPr="00FE4F5D">
        <w:rPr>
          <w:rFonts w:ascii="Tahoma" w:eastAsia="Times New Roman" w:hAnsi="Tahoma" w:cs="Tahoma"/>
          <w:color w:val="1E293B"/>
          <w:sz w:val="23"/>
          <w:szCs w:val="23"/>
        </w:rPr>
        <w:t>.</w:t>
      </w:r>
    </w:p>
    <w:p w:rsidR="00FE4F5D" w:rsidRPr="00FE4F5D" w:rsidRDefault="00FE4F5D" w:rsidP="00FE4F5D">
      <w:pPr>
        <w:pBdr>
          <w:right w:val="single" w:sz="18" w:space="11" w:color="0D9488"/>
        </w:pBdr>
        <w:shd w:val="clear" w:color="auto" w:fill="F0FDFA"/>
        <w:spacing w:before="240" w:after="240" w:line="480" w:lineRule="auto"/>
        <w:jc w:val="both"/>
        <w:rPr>
          <w:rFonts w:ascii="Tahoma" w:eastAsia="Times New Roman" w:hAnsi="Tahoma" w:cs="Tahoma"/>
          <w:color w:val="134E4A"/>
          <w:sz w:val="21"/>
          <w:szCs w:val="21"/>
        </w:rPr>
      </w:pPr>
      <w:r w:rsidRPr="00FE4F5D">
        <w:rPr>
          <w:rFonts w:ascii="Tahoma" w:eastAsia="Times New Roman" w:hAnsi="Tahoma" w:cs="Tahoma"/>
          <w:b/>
          <w:bCs/>
          <w:color w:val="134E4A"/>
          <w:sz w:val="21"/>
          <w:szCs w:val="21"/>
          <w:rtl/>
        </w:rPr>
        <w:t>خواسته و استدعای مودی</w:t>
      </w:r>
      <w:r w:rsidRPr="00FE4F5D">
        <w:rPr>
          <w:rFonts w:ascii="Tahoma" w:eastAsia="Times New Roman" w:hAnsi="Tahoma" w:cs="Tahoma"/>
          <w:b/>
          <w:bCs/>
          <w:color w:val="134E4A"/>
          <w:sz w:val="21"/>
          <w:szCs w:val="21"/>
        </w:rPr>
        <w:t>:</w:t>
      </w:r>
      <w:r w:rsidRPr="00FE4F5D">
        <w:rPr>
          <w:rFonts w:ascii="Tahoma" w:eastAsia="Times New Roman" w:hAnsi="Tahoma" w:cs="Tahoma"/>
          <w:color w:val="134E4A"/>
          <w:sz w:val="21"/>
          <w:szCs w:val="21"/>
        </w:rPr>
        <w:t xml:space="preserve"> </w:t>
      </w:r>
      <w:r w:rsidRPr="00FE4F5D">
        <w:rPr>
          <w:rFonts w:ascii="Tahoma" w:eastAsia="Times New Roman" w:hAnsi="Tahoma" w:cs="Tahoma"/>
          <w:color w:val="134E4A"/>
          <w:sz w:val="21"/>
          <w:szCs w:val="21"/>
          <w:rtl/>
        </w:rPr>
        <w:t xml:space="preserve">خواهشمند است با عنایت به پیچیدگی‌های فنی، حجم اسناد مثبته و عدم احراز کتمان درآمد، دستور صدور </w:t>
      </w:r>
      <w:r w:rsidRPr="00FE4F5D">
        <w:rPr>
          <w:rFonts w:ascii="Tahoma" w:eastAsia="Times New Roman" w:hAnsi="Tahoma" w:cs="Tahoma"/>
          <w:b/>
          <w:bCs/>
          <w:color w:val="134E4A"/>
          <w:sz w:val="21"/>
          <w:szCs w:val="21"/>
          <w:rtl/>
        </w:rPr>
        <w:t>قرار کارشناسی مجدد</w:t>
      </w:r>
      <w:r w:rsidRPr="00FE4F5D">
        <w:rPr>
          <w:rFonts w:ascii="Tahoma" w:eastAsia="Times New Roman" w:hAnsi="Tahoma" w:cs="Tahoma"/>
          <w:color w:val="134E4A"/>
          <w:sz w:val="21"/>
          <w:szCs w:val="21"/>
          <w:rtl/>
        </w:rPr>
        <w:t xml:space="preserve"> و ارجاع موضوع به مجری قرار جهت بازبینی بی‌طرفانه دفاتر و اسناد هزینه‌ای را صادر فرمایید</w:t>
      </w:r>
      <w:r w:rsidRPr="00FE4F5D">
        <w:rPr>
          <w:rFonts w:ascii="Tahoma" w:eastAsia="Times New Roman" w:hAnsi="Tahoma" w:cs="Tahoma"/>
          <w:color w:val="134E4A"/>
          <w:sz w:val="21"/>
          <w:szCs w:val="21"/>
        </w:rPr>
        <w:t>.</w:t>
      </w:r>
    </w:p>
    <w:p w:rsidR="00FE4F5D" w:rsidRPr="00FE4F5D" w:rsidRDefault="00FE4F5D" w:rsidP="00FE4F5D">
      <w:pPr>
        <w:spacing w:after="0" w:line="240" w:lineRule="auto"/>
        <w:jc w:val="both"/>
        <w:rPr>
          <w:rFonts w:ascii="Tahoma" w:eastAsia="Times New Roman" w:hAnsi="Tahoma" w:cs="Tahoma"/>
          <w:color w:val="64748B"/>
          <w:sz w:val="17"/>
          <w:szCs w:val="17"/>
        </w:rPr>
      </w:pPr>
      <w:r w:rsidRPr="00FE4F5D">
        <w:rPr>
          <w:rFonts w:ascii="Tahoma" w:eastAsia="Times New Roman" w:hAnsi="Tahoma" w:cs="Tahoma"/>
          <w:color w:val="64748B"/>
          <w:sz w:val="17"/>
          <w:szCs w:val="17"/>
          <w:rtl/>
        </w:rPr>
        <w:t>ضمائم: تاییدیه حسابرسی، مستندات دفاتر پلمپ</w:t>
      </w:r>
    </w:p>
    <w:p w:rsidR="00FE4F5D" w:rsidRPr="00FE4F5D" w:rsidRDefault="00FE4F5D" w:rsidP="00FE4F5D">
      <w:pPr>
        <w:spacing w:after="90" w:line="240" w:lineRule="auto"/>
        <w:jc w:val="both"/>
        <w:rPr>
          <w:rFonts w:ascii="Tahoma" w:eastAsia="Times New Roman" w:hAnsi="Tahoma" w:cs="Tahoma"/>
          <w:b/>
          <w:bCs/>
          <w:color w:val="0F2942"/>
          <w:sz w:val="20"/>
          <w:szCs w:val="20"/>
        </w:rPr>
      </w:pPr>
      <w:r w:rsidRPr="00FE4F5D">
        <w:rPr>
          <w:rFonts w:ascii="Tahoma" w:eastAsia="Times New Roman" w:hAnsi="Tahoma" w:cs="Tahoma"/>
          <w:b/>
          <w:bCs/>
          <w:color w:val="0F2942"/>
          <w:sz w:val="20"/>
          <w:szCs w:val="20"/>
          <w:rtl/>
        </w:rPr>
        <w:t>با سپاس؛</w:t>
      </w:r>
    </w:p>
    <w:p w:rsidR="00FE4F5D" w:rsidRPr="00FE4F5D" w:rsidRDefault="00FE4F5D" w:rsidP="00FE4F5D">
      <w:pPr>
        <w:spacing w:line="240" w:lineRule="auto"/>
        <w:jc w:val="both"/>
        <w:rPr>
          <w:rFonts w:ascii="Tahoma" w:eastAsia="Times New Roman" w:hAnsi="Tahoma" w:cs="Tahoma"/>
          <w:color w:val="475569"/>
          <w:sz w:val="20"/>
          <w:szCs w:val="20"/>
        </w:rPr>
      </w:pPr>
      <w:r w:rsidRPr="00FE4F5D">
        <w:rPr>
          <w:rFonts w:ascii="Tahoma" w:eastAsia="Times New Roman" w:hAnsi="Tahoma" w:cs="Tahoma"/>
          <w:color w:val="475569"/>
          <w:sz w:val="20"/>
          <w:szCs w:val="20"/>
          <w:rtl/>
        </w:rPr>
        <w:t>وکیل / نماینده رسمی مالیاتی</w:t>
      </w:r>
    </w:p>
    <w:p w:rsidR="00FE4F5D" w:rsidRPr="00FE4F5D" w:rsidRDefault="00FE4F5D" w:rsidP="00FE4F5D">
      <w:pPr>
        <w:shd w:val="clear" w:color="auto" w:fill="FAFAFA"/>
        <w:bidi w:val="0"/>
        <w:spacing w:after="0" w:line="240" w:lineRule="auto"/>
        <w:jc w:val="center"/>
        <w:rPr>
          <w:rFonts w:ascii="Tahoma" w:eastAsia="Times New Roman" w:hAnsi="Tahoma" w:cs="Tahoma"/>
          <w:color w:val="94A3B8"/>
          <w:sz w:val="17"/>
          <w:szCs w:val="17"/>
        </w:rPr>
      </w:pPr>
      <w:r w:rsidRPr="00FE4F5D">
        <w:rPr>
          <w:rFonts w:ascii="Tahoma" w:eastAsia="Times New Roman" w:hAnsi="Tahoma" w:cs="Tahoma"/>
          <w:color w:val="94A3B8"/>
          <w:sz w:val="17"/>
          <w:szCs w:val="17"/>
        </w:rPr>
        <w:t>[</w:t>
      </w:r>
      <w:r w:rsidRPr="00FE4F5D">
        <w:rPr>
          <w:rFonts w:ascii="Tahoma" w:eastAsia="Times New Roman" w:hAnsi="Tahoma" w:cs="Tahoma"/>
          <w:color w:val="94A3B8"/>
          <w:sz w:val="17"/>
          <w:szCs w:val="17"/>
          <w:rtl/>
        </w:rPr>
        <w:t>محل مهر و امضا</w:t>
      </w:r>
      <w:r w:rsidRPr="00FE4F5D">
        <w:rPr>
          <w:rFonts w:ascii="Tahoma" w:eastAsia="Times New Roman" w:hAnsi="Tahoma" w:cs="Tahoma"/>
          <w:color w:val="94A3B8"/>
          <w:sz w:val="17"/>
          <w:szCs w:val="17"/>
        </w:rPr>
        <w:t>]</w:t>
      </w:r>
    </w:p>
    <w:p w:rsidR="009E632A" w:rsidRDefault="009E632A">
      <w:pPr>
        <w:rPr>
          <w:rFonts w:hint="cs"/>
        </w:rPr>
      </w:pPr>
    </w:p>
    <w:sectPr w:rsidR="009E632A" w:rsidSect="00930B5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F5D"/>
    <w:rsid w:val="00930B57"/>
    <w:rsid w:val="009E632A"/>
    <w:rsid w:val="00FE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8CAE53A"/>
  <w15:chartTrackingRefBased/>
  <w15:docId w15:val="{E2E8B045-54FC-4C6E-AAA4-C6425E7D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4F5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E4F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4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09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F2942"/>
            <w:right w:val="none" w:sz="0" w:space="0" w:color="auto"/>
          </w:divBdr>
          <w:divsChild>
            <w:div w:id="45044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9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298582">
          <w:marLeft w:val="0"/>
          <w:marRight w:val="0"/>
          <w:marTop w:val="0"/>
          <w:marBottom w:val="375"/>
          <w:divBdr>
            <w:top w:val="single" w:sz="6" w:space="9" w:color="E2E8F0"/>
            <w:left w:val="single" w:sz="6" w:space="14" w:color="E2E8F0"/>
            <w:bottom w:val="single" w:sz="6" w:space="9" w:color="E2E8F0"/>
            <w:right w:val="single" w:sz="24" w:space="14" w:color="0D9488"/>
          </w:divBdr>
          <w:divsChild>
            <w:div w:id="133144925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6567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812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84112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7641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1660">
              <w:marLeft w:val="0"/>
              <w:marRight w:val="0"/>
              <w:marTop w:val="0"/>
              <w:marBottom w:val="0"/>
              <w:divBdr>
                <w:top w:val="dashed" w:sz="6" w:space="0" w:color="CBD5E1"/>
                <w:left w:val="dashed" w:sz="6" w:space="0" w:color="CBD5E1"/>
                <w:bottom w:val="dashed" w:sz="6" w:space="0" w:color="CBD5E1"/>
                <w:right w:val="dashed" w:sz="6" w:space="0" w:color="CBD5E1"/>
              </w:divBdr>
            </w:div>
          </w:divsChild>
        </w:div>
      </w:divsChild>
    </w:div>
    <w:div w:id="9848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311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F2942"/>
            <w:right w:val="none" w:sz="0" w:space="0" w:color="auto"/>
          </w:divBdr>
          <w:divsChild>
            <w:div w:id="57239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73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526709">
          <w:marLeft w:val="0"/>
          <w:marRight w:val="0"/>
          <w:marTop w:val="0"/>
          <w:marBottom w:val="375"/>
          <w:divBdr>
            <w:top w:val="single" w:sz="6" w:space="9" w:color="E2E8F0"/>
            <w:left w:val="single" w:sz="6" w:space="14" w:color="E2E8F0"/>
            <w:bottom w:val="single" w:sz="6" w:space="9" w:color="E2E8F0"/>
            <w:right w:val="single" w:sz="24" w:space="14" w:color="0D9488"/>
          </w:divBdr>
          <w:divsChild>
            <w:div w:id="928393472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545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83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8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2893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8155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8157">
              <w:marLeft w:val="0"/>
              <w:marRight w:val="0"/>
              <w:marTop w:val="0"/>
              <w:marBottom w:val="0"/>
              <w:divBdr>
                <w:top w:val="dashed" w:sz="6" w:space="0" w:color="CBD5E1"/>
                <w:left w:val="dashed" w:sz="6" w:space="0" w:color="CBD5E1"/>
                <w:bottom w:val="dashed" w:sz="6" w:space="0" w:color="CBD5E1"/>
                <w:right w:val="dashed" w:sz="6" w:space="0" w:color="CBD5E1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2026-09-15T03:21:00Z</dcterms:created>
  <dcterms:modified xsi:type="dcterms:W3CDTF">2026-09-15T03:26:00Z</dcterms:modified>
</cp:coreProperties>
</file>